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F85C7" w14:textId="77777777" w:rsidR="007D4A95" w:rsidRPr="00AE1515" w:rsidRDefault="00C6796B" w:rsidP="00C02003">
      <w:pPr>
        <w:pStyle w:val="Header"/>
        <w:jc w:val="right"/>
        <w:rPr>
          <w:rFonts w:cstheme="minorHAnsi"/>
          <w:b/>
          <w:color w:val="C00000"/>
        </w:rPr>
      </w:pPr>
      <w:r w:rsidRPr="00AE1515">
        <w:rPr>
          <w:rFonts w:cstheme="minorHAnsi"/>
          <w:b/>
          <w:noProof/>
          <w:color w:val="C00000"/>
          <w:lang w:val="en-GB" w:eastAsia="en-GB"/>
        </w:rPr>
        <w:drawing>
          <wp:inline distT="0" distB="0" distL="0" distR="0" wp14:anchorId="3C1D7631" wp14:editId="5DE52A0F">
            <wp:extent cx="1360150" cy="756663"/>
            <wp:effectExtent l="0" t="0" r="0" b="571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4649" cy="770292"/>
                    </a:xfrm>
                    <a:prstGeom prst="rect">
                      <a:avLst/>
                    </a:prstGeom>
                  </pic:spPr>
                </pic:pic>
              </a:graphicData>
            </a:graphic>
          </wp:inline>
        </w:drawing>
      </w:r>
    </w:p>
    <w:p w14:paraId="5C4BFB7B" w14:textId="77777777" w:rsidR="00AE1515" w:rsidRDefault="00AE1515" w:rsidP="003F1FCF">
      <w:pPr>
        <w:pStyle w:val="Header"/>
        <w:rPr>
          <w:rFonts w:cstheme="minorHAnsi"/>
          <w:b/>
          <w:color w:val="C00000"/>
          <w:sz w:val="28"/>
          <w:szCs w:val="28"/>
        </w:rPr>
      </w:pPr>
    </w:p>
    <w:p w14:paraId="69FB95DE" w14:textId="6A2D3F34" w:rsidR="00A60CE4" w:rsidRPr="00AE1515" w:rsidRDefault="0004080E" w:rsidP="003F1FCF">
      <w:pPr>
        <w:pStyle w:val="Header"/>
        <w:rPr>
          <w:rFonts w:cstheme="minorHAnsi"/>
          <w:b/>
          <w:color w:val="C00000"/>
          <w:sz w:val="28"/>
          <w:szCs w:val="28"/>
        </w:rPr>
      </w:pPr>
      <w:r w:rsidRPr="00AE1515">
        <w:rPr>
          <w:rFonts w:cstheme="minorHAnsi"/>
          <w:b/>
          <w:color w:val="C00000"/>
          <w:sz w:val="28"/>
          <w:szCs w:val="28"/>
        </w:rPr>
        <w:t>HelpAge International</w:t>
      </w:r>
      <w:r w:rsidR="00A60CE4" w:rsidRPr="00AE1515">
        <w:rPr>
          <w:rFonts w:cstheme="minorHAnsi"/>
          <w:b/>
          <w:color w:val="C00000"/>
          <w:sz w:val="28"/>
          <w:szCs w:val="28"/>
        </w:rPr>
        <w:t xml:space="preserve"> </w:t>
      </w:r>
      <w:r w:rsidRPr="00AE1515">
        <w:rPr>
          <w:rFonts w:cstheme="minorHAnsi"/>
          <w:b/>
          <w:color w:val="C00000"/>
          <w:sz w:val="28"/>
          <w:szCs w:val="28"/>
        </w:rPr>
        <w:t xml:space="preserve">Submission on </w:t>
      </w:r>
      <w:r w:rsidR="005F48C8">
        <w:rPr>
          <w:rFonts w:cstheme="minorHAnsi"/>
          <w:b/>
          <w:color w:val="C00000"/>
          <w:sz w:val="28"/>
          <w:szCs w:val="28"/>
        </w:rPr>
        <w:t>Education, Training, Lifelong Learning and Capacity Building</w:t>
      </w:r>
    </w:p>
    <w:p w14:paraId="73B14CF9" w14:textId="2408E030" w:rsidR="002B0842" w:rsidRPr="00AE1515" w:rsidRDefault="00587727" w:rsidP="003F1FCF">
      <w:pPr>
        <w:pStyle w:val="Header"/>
        <w:rPr>
          <w:rFonts w:cstheme="minorHAnsi"/>
        </w:rPr>
      </w:pPr>
      <w:r>
        <w:rPr>
          <w:rFonts w:cstheme="minorHAnsi"/>
        </w:rPr>
        <w:t>10</w:t>
      </w:r>
      <w:r w:rsidR="002B0842" w:rsidRPr="00AE1515">
        <w:rPr>
          <w:rFonts w:cstheme="minorHAnsi"/>
          <w:vertAlign w:val="superscript"/>
        </w:rPr>
        <w:t>th</w:t>
      </w:r>
      <w:r w:rsidR="00597CA9" w:rsidRPr="00AE1515">
        <w:rPr>
          <w:rFonts w:cstheme="minorHAnsi"/>
        </w:rPr>
        <w:t xml:space="preserve"> </w:t>
      </w:r>
      <w:r w:rsidR="002B0842" w:rsidRPr="00AE1515">
        <w:rPr>
          <w:rFonts w:cstheme="minorHAnsi"/>
        </w:rPr>
        <w:t>Working Session of the Open-end</w:t>
      </w:r>
      <w:r>
        <w:rPr>
          <w:rFonts w:cstheme="minorHAnsi"/>
        </w:rPr>
        <w:t>ed Working Group on Ageing, 2019</w:t>
      </w:r>
    </w:p>
    <w:p w14:paraId="73E2D8CD" w14:textId="77777777" w:rsidR="00A60CE4" w:rsidRPr="00AE1515" w:rsidRDefault="00A60CE4" w:rsidP="003F1FCF">
      <w:pPr>
        <w:rPr>
          <w:rFonts w:cstheme="minorHAnsi"/>
          <w:b/>
          <w:color w:val="800000"/>
        </w:rPr>
      </w:pPr>
    </w:p>
    <w:p w14:paraId="60A4237C" w14:textId="77777777" w:rsidR="00AB6200" w:rsidRPr="00AE1515" w:rsidRDefault="00AB6200" w:rsidP="003F1FCF">
      <w:pPr>
        <w:rPr>
          <w:rFonts w:cstheme="minorHAnsi"/>
          <w:b/>
          <w:color w:val="800000"/>
        </w:rPr>
      </w:pPr>
      <w:r w:rsidRPr="00AE1515">
        <w:rPr>
          <w:rFonts w:cstheme="minorHAnsi"/>
          <w:b/>
          <w:color w:val="800000"/>
        </w:rPr>
        <w:t>Introduction</w:t>
      </w:r>
    </w:p>
    <w:p w14:paraId="6E7EE439" w14:textId="77777777" w:rsidR="00B225AF" w:rsidRPr="00F639F4" w:rsidRDefault="00B225AF" w:rsidP="003F1FCF">
      <w:pPr>
        <w:rPr>
          <w:rFonts w:cstheme="minorHAnsi"/>
        </w:rPr>
      </w:pPr>
      <w:r w:rsidRPr="00F639F4">
        <w:rPr>
          <w:rFonts w:cstheme="minorHAnsi"/>
        </w:rPr>
        <w:t xml:space="preserve">Older people must be part of the growing discussion on their human rights.  To this end, in November 2018 HelpAge International consulted </w:t>
      </w:r>
      <w:r>
        <w:rPr>
          <w:rFonts w:cstheme="minorHAnsi"/>
        </w:rPr>
        <w:t xml:space="preserve">348 older women and 191 older men </w:t>
      </w:r>
      <w:r w:rsidRPr="00F639F4">
        <w:rPr>
          <w:rFonts w:cstheme="minorHAnsi"/>
        </w:rPr>
        <w:t>across 23 countries</w:t>
      </w:r>
      <w:r w:rsidRPr="00F639F4">
        <w:rPr>
          <w:rStyle w:val="FootnoteReference"/>
          <w:rFonts w:cstheme="minorHAnsi"/>
        </w:rPr>
        <w:footnoteReference w:id="1"/>
      </w:r>
      <w:r w:rsidRPr="00F639F4">
        <w:rPr>
          <w:rFonts w:cstheme="minorHAnsi"/>
          <w:vertAlign w:val="superscript"/>
        </w:rPr>
        <w:t xml:space="preserve"> </w:t>
      </w:r>
      <w:r w:rsidRPr="00F639F4">
        <w:rPr>
          <w:rFonts w:cstheme="minorHAnsi"/>
        </w:rPr>
        <w:t>on the rights to be discussed at the 10</w:t>
      </w:r>
      <w:r w:rsidRPr="00F639F4">
        <w:rPr>
          <w:rFonts w:cstheme="minorHAnsi"/>
          <w:vertAlign w:val="superscript"/>
        </w:rPr>
        <w:t>th</w:t>
      </w:r>
      <w:r w:rsidRPr="00F639F4">
        <w:rPr>
          <w:rFonts w:cstheme="minorHAnsi"/>
        </w:rPr>
        <w:t xml:space="preserve"> Session of the UN OEWG. This submission presents the issues they raised and uses their own words</w:t>
      </w:r>
      <w:bookmarkStart w:id="1" w:name="_Hlk533068194"/>
      <w:r w:rsidRPr="00F639F4">
        <w:rPr>
          <w:rFonts w:cstheme="minorHAnsi"/>
        </w:rPr>
        <w:t xml:space="preserve">. </w:t>
      </w:r>
      <w:bookmarkEnd w:id="1"/>
      <w:r>
        <w:rPr>
          <w:rFonts w:cstheme="minorHAnsi"/>
        </w:rPr>
        <w:t xml:space="preserve">Participants </w:t>
      </w:r>
      <w:r w:rsidRPr="00F639F4">
        <w:rPr>
          <w:rFonts w:cstheme="minorHAnsi"/>
        </w:rPr>
        <w:t>were self-selecting</w:t>
      </w:r>
      <w:r>
        <w:rPr>
          <w:rFonts w:cstheme="minorHAnsi"/>
        </w:rPr>
        <w:t>,</w:t>
      </w:r>
      <w:r w:rsidRPr="00F639F4">
        <w:rPr>
          <w:rFonts w:cstheme="minorHAnsi"/>
        </w:rPr>
        <w:t xml:space="preserve"> so their responses are not a representative sample of older people. </w:t>
      </w:r>
    </w:p>
    <w:p w14:paraId="505B90D2" w14:textId="77777777" w:rsidR="00EE6E92" w:rsidRPr="00AE1515" w:rsidRDefault="00EE6E92" w:rsidP="003F1FCF">
      <w:pPr>
        <w:rPr>
          <w:rFonts w:cstheme="minorHAnsi"/>
          <w:b/>
          <w:color w:val="800000"/>
        </w:rPr>
      </w:pPr>
    </w:p>
    <w:p w14:paraId="63CF9D2E" w14:textId="18DFEEB1" w:rsidR="00EE6E92" w:rsidRPr="00AE1515" w:rsidRDefault="005F48C8" w:rsidP="003F1FCF">
      <w:pPr>
        <w:rPr>
          <w:rFonts w:cstheme="minorHAnsi"/>
          <w:b/>
          <w:color w:val="800000"/>
        </w:rPr>
      </w:pPr>
      <w:r>
        <w:rPr>
          <w:rFonts w:cstheme="minorHAnsi"/>
          <w:b/>
          <w:color w:val="800000"/>
        </w:rPr>
        <w:t>Question 2</w:t>
      </w:r>
      <w:r w:rsidR="00EE6E92" w:rsidRPr="00AE1515">
        <w:rPr>
          <w:rFonts w:cstheme="minorHAnsi"/>
          <w:b/>
          <w:color w:val="800000"/>
        </w:rPr>
        <w:t xml:space="preserve">: </w:t>
      </w:r>
      <w:r>
        <w:rPr>
          <w:rFonts w:cstheme="minorHAnsi"/>
          <w:b/>
          <w:color w:val="800000"/>
        </w:rPr>
        <w:t xml:space="preserve">Challenges </w:t>
      </w:r>
      <w:r w:rsidR="00976777">
        <w:rPr>
          <w:rFonts w:cstheme="minorHAnsi"/>
          <w:b/>
          <w:color w:val="800000"/>
        </w:rPr>
        <w:t>in access</w:t>
      </w:r>
    </w:p>
    <w:p w14:paraId="1DD4A993" w14:textId="1D485E88" w:rsidR="007149E1" w:rsidRDefault="007149E1" w:rsidP="007149E1">
      <w:pPr>
        <w:rPr>
          <w:rFonts w:cstheme="minorHAnsi"/>
        </w:rPr>
      </w:pPr>
      <w:r>
        <w:rPr>
          <w:rFonts w:cstheme="minorHAnsi"/>
        </w:rPr>
        <w:t xml:space="preserve">In the consultation older people said they wanted to learn how </w:t>
      </w:r>
      <w:r w:rsidRPr="00F652CF">
        <w:rPr>
          <w:rFonts w:cstheme="minorHAnsi"/>
        </w:rPr>
        <w:t>to us</w:t>
      </w:r>
      <w:r>
        <w:rPr>
          <w:rFonts w:cstheme="minorHAnsi"/>
        </w:rPr>
        <w:t xml:space="preserve">e different types of technology, how to earn a living, how to manage their finances and understand their pension. They wanted to learn about their own health and healthcare services, exercise and nutrition, their </w:t>
      </w:r>
      <w:r w:rsidRPr="00F652CF">
        <w:rPr>
          <w:rFonts w:cstheme="minorHAnsi"/>
        </w:rPr>
        <w:t>human ri</w:t>
      </w:r>
      <w:r>
        <w:rPr>
          <w:rFonts w:cstheme="minorHAnsi"/>
        </w:rPr>
        <w:t xml:space="preserve">ghts, politics and the law. </w:t>
      </w:r>
      <w:r w:rsidRPr="00F652CF">
        <w:rPr>
          <w:rFonts w:cstheme="minorHAnsi"/>
        </w:rPr>
        <w:t xml:space="preserve">Some wanted to </w:t>
      </w:r>
      <w:r w:rsidR="00976777">
        <w:rPr>
          <w:rFonts w:cstheme="minorHAnsi"/>
        </w:rPr>
        <w:t>learn</w:t>
      </w:r>
      <w:r w:rsidRPr="00F652CF">
        <w:rPr>
          <w:rFonts w:cstheme="minorHAnsi"/>
        </w:rPr>
        <w:t xml:space="preserve"> leadership, advocacy and campaigning skills; others how to run an organisation. Some said they needed skills to raise their grandchildren.</w:t>
      </w:r>
      <w:r>
        <w:rPr>
          <w:rFonts w:cstheme="minorHAnsi"/>
        </w:rPr>
        <w:t xml:space="preserve"> Others </w:t>
      </w:r>
      <w:r w:rsidR="00976777">
        <w:rPr>
          <w:rFonts w:cstheme="minorHAnsi"/>
        </w:rPr>
        <w:t xml:space="preserve">wanted </w:t>
      </w:r>
      <w:r>
        <w:rPr>
          <w:rFonts w:cstheme="minorHAnsi"/>
        </w:rPr>
        <w:t>creative and recreational skills to enjoy life more.</w:t>
      </w:r>
    </w:p>
    <w:p w14:paraId="08480581" w14:textId="027A2C18" w:rsidR="007149E1" w:rsidRDefault="007149E1" w:rsidP="003F1FCF">
      <w:pPr>
        <w:rPr>
          <w:rFonts w:cstheme="minorHAnsi"/>
        </w:rPr>
      </w:pPr>
    </w:p>
    <w:p w14:paraId="4DE9C8BE" w14:textId="162A77E7" w:rsidR="003F1FCF" w:rsidRDefault="003F1FCF" w:rsidP="003F1FCF">
      <w:pPr>
        <w:rPr>
          <w:rFonts w:cstheme="minorHAnsi"/>
        </w:rPr>
      </w:pPr>
      <w:r w:rsidRPr="003F1FCF">
        <w:rPr>
          <w:rFonts w:cstheme="minorHAnsi"/>
        </w:rPr>
        <w:t>Without these skills, knowledge an</w:t>
      </w:r>
      <w:r>
        <w:rPr>
          <w:rFonts w:cstheme="minorHAnsi"/>
        </w:rPr>
        <w:t>d information, older people felt</w:t>
      </w:r>
      <w:r w:rsidRPr="003F1FCF">
        <w:rPr>
          <w:rFonts w:cstheme="minorHAnsi"/>
        </w:rPr>
        <w:t xml:space="preserve"> excluded an</w:t>
      </w:r>
      <w:r w:rsidR="00446C28">
        <w:rPr>
          <w:rFonts w:cstheme="minorHAnsi"/>
        </w:rPr>
        <w:t>d dependent. With them, they fe</w:t>
      </w:r>
      <w:r w:rsidRPr="003F1FCF">
        <w:rPr>
          <w:rFonts w:cstheme="minorHAnsi"/>
        </w:rPr>
        <w:t>l</w:t>
      </w:r>
      <w:r w:rsidR="00446C28">
        <w:rPr>
          <w:rFonts w:cstheme="minorHAnsi"/>
        </w:rPr>
        <w:t>t</w:t>
      </w:r>
      <w:r w:rsidRPr="003F1FCF">
        <w:rPr>
          <w:rFonts w:cstheme="minorHAnsi"/>
        </w:rPr>
        <w:t xml:space="preserve"> independent and part of society</w:t>
      </w:r>
      <w:r>
        <w:rPr>
          <w:rFonts w:cstheme="minorHAnsi"/>
        </w:rPr>
        <w:t>.</w:t>
      </w:r>
    </w:p>
    <w:p w14:paraId="42B5AF68" w14:textId="4F16EFE3" w:rsidR="003F1FCF" w:rsidRDefault="003F1FCF" w:rsidP="003F1FCF">
      <w:pPr>
        <w:rPr>
          <w:rFonts w:cstheme="minorHAnsi"/>
        </w:rPr>
      </w:pPr>
    </w:p>
    <w:p w14:paraId="4846F193" w14:textId="21E4350F" w:rsidR="00C45404" w:rsidRDefault="00C45404" w:rsidP="00C02003">
      <w:pPr>
        <w:ind w:left="720"/>
      </w:pPr>
      <w:r>
        <w:t>‘</w:t>
      </w:r>
      <w:r w:rsidRPr="00C45404">
        <w:t>My son taught me how to use my phone and Google. I really like it! When a question pops into my mind, I just type it in and get loads of answers!</w:t>
      </w:r>
      <w:r>
        <w:t>’</w:t>
      </w:r>
      <w:r w:rsidRPr="00C45404">
        <w:t xml:space="preserve"> </w:t>
      </w:r>
      <w:r w:rsidRPr="00504813">
        <w:t>65-year-old woman, Jordan</w:t>
      </w:r>
    </w:p>
    <w:p w14:paraId="2002F005" w14:textId="4EAD41D6" w:rsidR="007149E1" w:rsidRDefault="007149E1" w:rsidP="007149E1">
      <w:pPr>
        <w:rPr>
          <w:rFonts w:cstheme="minorHAnsi"/>
        </w:rPr>
      </w:pPr>
    </w:p>
    <w:p w14:paraId="3DC97EEA" w14:textId="75011CA4" w:rsidR="00446C28" w:rsidRDefault="007149E1" w:rsidP="007149E1">
      <w:pPr>
        <w:rPr>
          <w:rFonts w:cstheme="minorHAnsi"/>
        </w:rPr>
      </w:pPr>
      <w:r>
        <w:rPr>
          <w:rFonts w:cstheme="minorHAnsi"/>
        </w:rPr>
        <w:t>Despite this</w:t>
      </w:r>
      <w:r w:rsidR="00446C28">
        <w:rPr>
          <w:rFonts w:cstheme="minorHAnsi"/>
        </w:rPr>
        <w:t>,</w:t>
      </w:r>
      <w:r>
        <w:rPr>
          <w:rFonts w:cstheme="minorHAnsi"/>
        </w:rPr>
        <w:t xml:space="preserve"> many participants said they did</w:t>
      </w:r>
      <w:r w:rsidR="00446C28">
        <w:rPr>
          <w:rFonts w:cstheme="minorHAnsi"/>
        </w:rPr>
        <w:t xml:space="preserve"> not know where they could</w:t>
      </w:r>
      <w:r w:rsidRPr="003F1FCF">
        <w:rPr>
          <w:rFonts w:cstheme="minorHAnsi"/>
        </w:rPr>
        <w:t xml:space="preserve"> go to acquire the skills, knowledge and inform</w:t>
      </w:r>
      <w:r>
        <w:rPr>
          <w:rFonts w:cstheme="minorHAnsi"/>
        </w:rPr>
        <w:t>ation they need</w:t>
      </w:r>
      <w:r w:rsidR="00976777">
        <w:rPr>
          <w:rFonts w:cstheme="minorHAnsi"/>
        </w:rPr>
        <w:t>ed</w:t>
      </w:r>
      <w:r>
        <w:rPr>
          <w:rFonts w:cstheme="minorHAnsi"/>
        </w:rPr>
        <w:t xml:space="preserve"> or want</w:t>
      </w:r>
      <w:r w:rsidR="00976777">
        <w:rPr>
          <w:rFonts w:cstheme="minorHAnsi"/>
        </w:rPr>
        <w:t>ed</w:t>
      </w:r>
      <w:r>
        <w:rPr>
          <w:rFonts w:cstheme="minorHAnsi"/>
        </w:rPr>
        <w:t>, or had</w:t>
      </w:r>
      <w:r w:rsidRPr="003F1FCF">
        <w:rPr>
          <w:rFonts w:cstheme="minorHAnsi"/>
        </w:rPr>
        <w:t xml:space="preserve"> never tried to do so.</w:t>
      </w:r>
    </w:p>
    <w:p w14:paraId="5E986178" w14:textId="77777777" w:rsidR="00446C28" w:rsidRDefault="00446C28" w:rsidP="007149E1">
      <w:pPr>
        <w:rPr>
          <w:rFonts w:cstheme="minorHAnsi"/>
        </w:rPr>
      </w:pPr>
    </w:p>
    <w:p w14:paraId="7514AC99" w14:textId="4C12032A" w:rsidR="00C45404" w:rsidRDefault="00C45404" w:rsidP="00C02003">
      <w:pPr>
        <w:ind w:left="720"/>
      </w:pPr>
      <w:r>
        <w:t>‘</w:t>
      </w:r>
      <w:r w:rsidRPr="00C45404">
        <w:t>Where we live in our community we haven’t even tried to get support. We simply don’t know where to go and who to approach.</w:t>
      </w:r>
      <w:r>
        <w:t>’</w:t>
      </w:r>
      <w:r w:rsidR="00C02003">
        <w:t xml:space="preserve"> </w:t>
      </w:r>
      <w:r w:rsidR="00AE03C8">
        <w:t>G</w:t>
      </w:r>
      <w:r w:rsidRPr="006D5724">
        <w:t>roup discussion</w:t>
      </w:r>
      <w:r w:rsidR="00AE03C8">
        <w:t>, Sudan</w:t>
      </w:r>
    </w:p>
    <w:p w14:paraId="61357423" w14:textId="7616AA83" w:rsidR="007149E1" w:rsidRDefault="007149E1" w:rsidP="007149E1">
      <w:pPr>
        <w:rPr>
          <w:rFonts w:cstheme="minorHAnsi"/>
        </w:rPr>
      </w:pPr>
      <w:r w:rsidRPr="003F1FCF">
        <w:rPr>
          <w:rFonts w:cstheme="minorHAnsi"/>
        </w:rPr>
        <w:t xml:space="preserve"> </w:t>
      </w:r>
    </w:p>
    <w:p w14:paraId="451A534E" w14:textId="0A406F61" w:rsidR="00C45404" w:rsidRDefault="00356964" w:rsidP="00C45404">
      <w:pPr>
        <w:rPr>
          <w:rFonts w:cstheme="minorHAnsi"/>
        </w:rPr>
      </w:pPr>
      <w:r>
        <w:rPr>
          <w:rFonts w:cstheme="minorHAnsi"/>
        </w:rPr>
        <w:t>Participants</w:t>
      </w:r>
      <w:r w:rsidR="00C45404">
        <w:rPr>
          <w:rFonts w:cstheme="minorHAnsi"/>
        </w:rPr>
        <w:t xml:space="preserve"> said n</w:t>
      </w:r>
      <w:r w:rsidR="00C45404" w:rsidRPr="00C45404">
        <w:rPr>
          <w:rFonts w:cstheme="minorHAnsi"/>
        </w:rPr>
        <w:t>egative attitudes and stereotypes encountered by older people, and internalised by older people themselves, can prevent them from acquiring new skills, knowledge and information.</w:t>
      </w:r>
    </w:p>
    <w:p w14:paraId="64FDA13F" w14:textId="77777777" w:rsidR="00C02003" w:rsidRDefault="00C02003" w:rsidP="00C45404">
      <w:pPr>
        <w:rPr>
          <w:rFonts w:cstheme="minorHAnsi"/>
        </w:rPr>
      </w:pPr>
    </w:p>
    <w:p w14:paraId="0A49B29D" w14:textId="6A10314E" w:rsidR="00BB02E3" w:rsidRDefault="00BB02E3" w:rsidP="00C02003">
      <w:pPr>
        <w:ind w:left="720"/>
        <w:rPr>
          <w:rFonts w:cstheme="minorHAnsi"/>
        </w:rPr>
      </w:pPr>
      <w:r>
        <w:rPr>
          <w:rFonts w:cstheme="minorHAnsi"/>
        </w:rPr>
        <w:lastRenderedPageBreak/>
        <w:t>‘</w:t>
      </w:r>
      <w:r w:rsidRPr="00F652CF">
        <w:rPr>
          <w:rFonts w:cstheme="minorHAnsi"/>
        </w:rPr>
        <w:t>A year back I was completely illiterate. I couldn’t even write my name. Luckily</w:t>
      </w:r>
      <w:r>
        <w:rPr>
          <w:rFonts w:cstheme="minorHAnsi"/>
        </w:rPr>
        <w:t>,</w:t>
      </w:r>
      <w:r w:rsidRPr="00F652CF">
        <w:rPr>
          <w:rFonts w:cstheme="minorHAnsi"/>
        </w:rPr>
        <w:t xml:space="preserve"> I got an opportunity to take a basic literacy class. At that time, villagers laughed at me and teased me due to my age.</w:t>
      </w:r>
      <w:r>
        <w:rPr>
          <w:rFonts w:cstheme="minorHAnsi"/>
        </w:rPr>
        <w:t>’</w:t>
      </w:r>
      <w:r w:rsidRPr="00F652CF">
        <w:rPr>
          <w:rFonts w:cstheme="minorHAnsi"/>
        </w:rPr>
        <w:t>81-year-old woman, Nepal</w:t>
      </w:r>
    </w:p>
    <w:p w14:paraId="43197437" w14:textId="77777777" w:rsidR="009251CF" w:rsidRDefault="009251CF" w:rsidP="003F1FCF">
      <w:pPr>
        <w:rPr>
          <w:rFonts w:cstheme="minorHAnsi"/>
          <w:b/>
          <w:color w:val="800000"/>
        </w:rPr>
      </w:pPr>
    </w:p>
    <w:p w14:paraId="5D445F69" w14:textId="3386528B" w:rsidR="00AE1515" w:rsidRPr="00AE1515" w:rsidRDefault="005F48C8" w:rsidP="003F1FCF">
      <w:pPr>
        <w:rPr>
          <w:rFonts w:cstheme="minorHAnsi"/>
          <w:b/>
          <w:color w:val="800000"/>
          <w:lang w:val="en-GB"/>
        </w:rPr>
      </w:pPr>
      <w:r>
        <w:rPr>
          <w:rFonts w:cstheme="minorHAnsi"/>
          <w:b/>
          <w:color w:val="800000"/>
        </w:rPr>
        <w:t>Question 3</w:t>
      </w:r>
      <w:r w:rsidR="00EE6E92" w:rsidRPr="00AE1515">
        <w:rPr>
          <w:rFonts w:cstheme="minorHAnsi"/>
          <w:b/>
          <w:color w:val="800000"/>
        </w:rPr>
        <w:t xml:space="preserve">: </w:t>
      </w:r>
      <w:r w:rsidR="00A415D3">
        <w:rPr>
          <w:rFonts w:cstheme="minorHAnsi"/>
          <w:b/>
          <w:color w:val="800000"/>
        </w:rPr>
        <w:t>A</w:t>
      </w:r>
      <w:r w:rsidR="00976777">
        <w:rPr>
          <w:rFonts w:cstheme="minorHAnsi"/>
          <w:b/>
          <w:color w:val="800000"/>
        </w:rPr>
        <w:t>daptability</w:t>
      </w:r>
    </w:p>
    <w:p w14:paraId="327CD0F8" w14:textId="7269F2E5" w:rsidR="00446C28" w:rsidRPr="00F652CF" w:rsidRDefault="00976777" w:rsidP="00446C28">
      <w:pPr>
        <w:rPr>
          <w:rFonts w:cstheme="minorHAnsi"/>
        </w:rPr>
      </w:pPr>
      <w:r>
        <w:rPr>
          <w:rFonts w:cstheme="minorHAnsi"/>
        </w:rPr>
        <w:t>Older people identified a number of ways in which learning had not been adapted to meet their needs and preferences</w:t>
      </w:r>
      <w:r w:rsidR="00446C28" w:rsidRPr="00F652CF">
        <w:rPr>
          <w:rFonts w:cstheme="minorHAnsi"/>
        </w:rPr>
        <w:t>.</w:t>
      </w:r>
    </w:p>
    <w:p w14:paraId="26DA6D5A" w14:textId="60085CBF" w:rsidR="00446C28" w:rsidRPr="00F652CF" w:rsidRDefault="00446C28" w:rsidP="00446C28">
      <w:pPr>
        <w:rPr>
          <w:rFonts w:cstheme="minorHAnsi"/>
        </w:rPr>
      </w:pPr>
    </w:p>
    <w:p w14:paraId="03ACB2D8" w14:textId="6CEA48F8" w:rsidR="003F1FCF" w:rsidRDefault="00446C28" w:rsidP="00446C28">
      <w:pPr>
        <w:ind w:left="720"/>
        <w:rPr>
          <w:rFonts w:cstheme="minorHAnsi"/>
        </w:rPr>
      </w:pPr>
      <w:r>
        <w:rPr>
          <w:rFonts w:cstheme="minorHAnsi"/>
        </w:rPr>
        <w:t>‘</w:t>
      </w:r>
      <w:r w:rsidRPr="00F652CF">
        <w:rPr>
          <w:rFonts w:cstheme="minorHAnsi"/>
        </w:rPr>
        <w:t>There are no established resource centres with materials relevant for older people.</w:t>
      </w:r>
      <w:r>
        <w:rPr>
          <w:rFonts w:cstheme="minorHAnsi"/>
        </w:rPr>
        <w:t>’</w:t>
      </w:r>
      <w:r w:rsidR="00C02003">
        <w:rPr>
          <w:rFonts w:cstheme="minorHAnsi"/>
        </w:rPr>
        <w:t xml:space="preserve"> </w:t>
      </w:r>
      <w:r w:rsidR="007A2E53">
        <w:rPr>
          <w:rFonts w:cstheme="minorHAnsi"/>
        </w:rPr>
        <w:t xml:space="preserve">Group discussion, </w:t>
      </w:r>
      <w:r w:rsidRPr="00F652CF">
        <w:rPr>
          <w:rFonts w:cstheme="minorHAnsi"/>
        </w:rPr>
        <w:t>Tanzania</w:t>
      </w:r>
    </w:p>
    <w:p w14:paraId="05FB6495" w14:textId="184E6A71" w:rsidR="00446C28" w:rsidRDefault="00446C28" w:rsidP="00446C28">
      <w:pPr>
        <w:rPr>
          <w:rFonts w:cstheme="minorHAnsi"/>
        </w:rPr>
      </w:pPr>
    </w:p>
    <w:p w14:paraId="6F16CEEC" w14:textId="7F5543A2" w:rsidR="00446C28" w:rsidRDefault="00446C28" w:rsidP="00446C28">
      <w:pPr>
        <w:rPr>
          <w:rFonts w:cstheme="minorHAnsi"/>
        </w:rPr>
      </w:pPr>
      <w:r>
        <w:rPr>
          <w:rFonts w:cstheme="minorHAnsi"/>
        </w:rPr>
        <w:t>Others</w:t>
      </w:r>
      <w:r w:rsidRPr="00F652CF">
        <w:rPr>
          <w:rFonts w:cstheme="minorHAnsi"/>
        </w:rPr>
        <w:t xml:space="preserve"> said th</w:t>
      </w:r>
      <w:r w:rsidR="00976777">
        <w:rPr>
          <w:rFonts w:cstheme="minorHAnsi"/>
        </w:rPr>
        <w:t>ey did not have enough money, the learning centre</w:t>
      </w:r>
      <w:r w:rsidRPr="00F652CF">
        <w:rPr>
          <w:rFonts w:cstheme="minorHAnsi"/>
        </w:rPr>
        <w:t xml:space="preserve"> was too far away, and they co</w:t>
      </w:r>
      <w:r>
        <w:rPr>
          <w:rFonts w:cstheme="minorHAnsi"/>
        </w:rPr>
        <w:t>uld not afford</w:t>
      </w:r>
      <w:r w:rsidR="00976777">
        <w:rPr>
          <w:rFonts w:cstheme="minorHAnsi"/>
        </w:rPr>
        <w:t>,</w:t>
      </w:r>
      <w:r>
        <w:rPr>
          <w:rFonts w:cstheme="minorHAnsi"/>
        </w:rPr>
        <w:t xml:space="preserve"> or there was no</w:t>
      </w:r>
      <w:r w:rsidR="00976777">
        <w:rPr>
          <w:rFonts w:cstheme="minorHAnsi"/>
        </w:rPr>
        <w:t>,</w:t>
      </w:r>
      <w:r w:rsidRPr="00F652CF">
        <w:rPr>
          <w:rFonts w:cstheme="minorHAnsi"/>
        </w:rPr>
        <w:t xml:space="preserve"> transport. </w:t>
      </w:r>
    </w:p>
    <w:p w14:paraId="590D25C6" w14:textId="77777777" w:rsidR="00446C28" w:rsidRDefault="00446C28" w:rsidP="00446C28">
      <w:pPr>
        <w:rPr>
          <w:rFonts w:cstheme="minorHAnsi"/>
        </w:rPr>
      </w:pPr>
    </w:p>
    <w:p w14:paraId="0A5EF4E8" w14:textId="21910065" w:rsidR="00C45404" w:rsidRDefault="00446C28" w:rsidP="00C02003">
      <w:pPr>
        <w:ind w:left="720"/>
        <w:rPr>
          <w:rFonts w:cstheme="minorHAnsi"/>
        </w:rPr>
      </w:pPr>
      <w:r w:rsidRPr="005C4BE3">
        <w:rPr>
          <w:rFonts w:cstheme="minorHAnsi"/>
        </w:rPr>
        <w:t>‘</w:t>
      </w:r>
      <w:r w:rsidR="00C45404" w:rsidRPr="005C4BE3">
        <w:rPr>
          <w:rFonts w:cstheme="minorHAnsi"/>
        </w:rPr>
        <w:t>The cost of training is a limiting factor as it would compete for your meagre resources with the cost of looking after grandchildren or children still under your care.’</w:t>
      </w:r>
      <w:r w:rsidR="00C02003">
        <w:rPr>
          <w:rFonts w:cstheme="minorHAnsi"/>
        </w:rPr>
        <w:t xml:space="preserve"> </w:t>
      </w:r>
      <w:r w:rsidR="00C45404" w:rsidRPr="00F652CF">
        <w:rPr>
          <w:rFonts w:cstheme="minorHAnsi"/>
        </w:rPr>
        <w:t>77-year-old man, Zambia</w:t>
      </w:r>
    </w:p>
    <w:p w14:paraId="3C9C7251" w14:textId="39B1B7FC" w:rsidR="005F48C8" w:rsidRDefault="005F48C8" w:rsidP="00C45404">
      <w:pPr>
        <w:ind w:left="720"/>
        <w:rPr>
          <w:rFonts w:cstheme="minorHAnsi"/>
        </w:rPr>
      </w:pPr>
    </w:p>
    <w:p w14:paraId="125C3BD2" w14:textId="6E38CD42" w:rsidR="005F48C8" w:rsidRPr="00AE1515" w:rsidRDefault="005F48C8" w:rsidP="003F1FCF">
      <w:pPr>
        <w:rPr>
          <w:rFonts w:cstheme="minorHAnsi"/>
          <w:b/>
          <w:color w:val="800000"/>
          <w:lang w:val="en-GB"/>
        </w:rPr>
      </w:pPr>
      <w:r>
        <w:rPr>
          <w:rFonts w:cstheme="minorHAnsi"/>
          <w:b/>
          <w:color w:val="800000"/>
        </w:rPr>
        <w:t>Question 4</w:t>
      </w:r>
      <w:r w:rsidRPr="00AE1515">
        <w:rPr>
          <w:rFonts w:cstheme="minorHAnsi"/>
          <w:b/>
          <w:color w:val="800000"/>
        </w:rPr>
        <w:t xml:space="preserve">: </w:t>
      </w:r>
      <w:r>
        <w:rPr>
          <w:rFonts w:cstheme="minorHAnsi"/>
          <w:b/>
          <w:color w:val="800000"/>
        </w:rPr>
        <w:t>Equality and non-discrimination</w:t>
      </w:r>
    </w:p>
    <w:p w14:paraId="541A43DE" w14:textId="752528C9" w:rsidR="003F1FCF" w:rsidRDefault="00446C28" w:rsidP="003F1FCF">
      <w:pPr>
        <w:rPr>
          <w:rFonts w:cstheme="minorHAnsi"/>
        </w:rPr>
      </w:pPr>
      <w:r>
        <w:rPr>
          <w:rFonts w:cstheme="minorHAnsi"/>
        </w:rPr>
        <w:t>A number of participants said opportunities to learn were not available to them because of their older age</w:t>
      </w:r>
      <w:r w:rsidR="00976777">
        <w:rPr>
          <w:rFonts w:cstheme="minorHAnsi"/>
        </w:rPr>
        <w:t xml:space="preserve"> or other characteristics</w:t>
      </w:r>
      <w:r>
        <w:rPr>
          <w:rFonts w:cstheme="minorHAnsi"/>
        </w:rPr>
        <w:t>.</w:t>
      </w:r>
    </w:p>
    <w:p w14:paraId="1ED577CC" w14:textId="0489773F" w:rsidR="00446C28" w:rsidRDefault="00446C28" w:rsidP="00446C28">
      <w:pPr>
        <w:rPr>
          <w:rFonts w:cstheme="minorHAnsi"/>
        </w:rPr>
      </w:pPr>
    </w:p>
    <w:p w14:paraId="79B12564" w14:textId="7DFAFF38" w:rsidR="00AE03C8" w:rsidRPr="00F652CF" w:rsidRDefault="00AE03C8" w:rsidP="00C02003">
      <w:pPr>
        <w:ind w:left="720"/>
        <w:rPr>
          <w:rFonts w:cstheme="minorHAnsi"/>
        </w:rPr>
      </w:pPr>
      <w:r w:rsidRPr="00AE03C8">
        <w:rPr>
          <w:rFonts w:cstheme="minorHAnsi"/>
        </w:rPr>
        <w:t>‘There are many places you can go for training in clothes design, but they’re only for young people.’</w:t>
      </w:r>
      <w:r w:rsidR="00C02003">
        <w:rPr>
          <w:rFonts w:cstheme="minorHAnsi"/>
        </w:rPr>
        <w:t xml:space="preserve"> </w:t>
      </w:r>
      <w:r>
        <w:rPr>
          <w:rFonts w:cstheme="minorHAnsi"/>
        </w:rPr>
        <w:t>80-year-old woman, Myanmar</w:t>
      </w:r>
    </w:p>
    <w:p w14:paraId="62AC1D89" w14:textId="77777777" w:rsidR="00446C28" w:rsidRPr="00F652CF" w:rsidRDefault="00446C28" w:rsidP="00446C28">
      <w:pPr>
        <w:rPr>
          <w:rFonts w:cstheme="minorHAnsi"/>
        </w:rPr>
      </w:pPr>
    </w:p>
    <w:p w14:paraId="49F11628" w14:textId="19A105C3" w:rsidR="00AE03C8" w:rsidRPr="00F652CF" w:rsidRDefault="00AE03C8" w:rsidP="00C02003">
      <w:pPr>
        <w:ind w:left="720"/>
        <w:rPr>
          <w:rFonts w:cstheme="minorHAnsi"/>
        </w:rPr>
      </w:pPr>
      <w:r w:rsidRPr="00AE03C8">
        <w:rPr>
          <w:rFonts w:cstheme="minorHAnsi"/>
        </w:rPr>
        <w:t>‘I want to learn skills and acquire knowledge but unfortunately there are no vocational centres or accelerated learning programme classes for older people.’</w:t>
      </w:r>
      <w:r w:rsidR="00C02003">
        <w:rPr>
          <w:rFonts w:cstheme="minorHAnsi"/>
        </w:rPr>
        <w:t xml:space="preserve"> </w:t>
      </w:r>
      <w:r w:rsidRPr="006D5724">
        <w:rPr>
          <w:rFonts w:cstheme="minorHAnsi"/>
        </w:rPr>
        <w:t>60-year-old man, Sudan</w:t>
      </w:r>
    </w:p>
    <w:p w14:paraId="7D80357D" w14:textId="3A90F139" w:rsidR="00976777" w:rsidRDefault="00976777" w:rsidP="00446C28">
      <w:pPr>
        <w:ind w:left="720"/>
        <w:rPr>
          <w:rFonts w:cstheme="minorHAnsi"/>
        </w:rPr>
      </w:pPr>
    </w:p>
    <w:p w14:paraId="4ABA9DBD" w14:textId="5166CA94" w:rsidR="00976777" w:rsidRPr="00F652CF" w:rsidRDefault="00976777" w:rsidP="00C02003">
      <w:pPr>
        <w:ind w:left="720"/>
        <w:rPr>
          <w:rFonts w:cstheme="minorHAnsi"/>
        </w:rPr>
      </w:pPr>
      <w:r>
        <w:rPr>
          <w:rFonts w:cstheme="minorHAnsi"/>
        </w:rPr>
        <w:t>‘</w:t>
      </w:r>
      <w:r w:rsidRPr="00F652CF">
        <w:rPr>
          <w:rFonts w:cstheme="minorHAnsi"/>
        </w:rPr>
        <w:t>I do not know if there are any painting courses for people with disabilities in Moldova.</w:t>
      </w:r>
      <w:r>
        <w:rPr>
          <w:rFonts w:cstheme="minorHAnsi"/>
        </w:rPr>
        <w:t xml:space="preserve">’ </w:t>
      </w:r>
      <w:r w:rsidRPr="00F652CF">
        <w:rPr>
          <w:rFonts w:cstheme="minorHAnsi"/>
        </w:rPr>
        <w:t>75-year-old man, Moldova</w:t>
      </w:r>
    </w:p>
    <w:p w14:paraId="6582F870" w14:textId="77777777" w:rsidR="00976777" w:rsidRPr="00F652CF" w:rsidRDefault="00976777" w:rsidP="00446C28">
      <w:pPr>
        <w:ind w:left="720"/>
        <w:rPr>
          <w:rFonts w:cstheme="minorHAnsi"/>
        </w:rPr>
      </w:pPr>
    </w:p>
    <w:p w14:paraId="22DB3A0C" w14:textId="049550C6" w:rsidR="00AE1515" w:rsidRPr="00AE1515" w:rsidRDefault="00AE1515" w:rsidP="003F1FCF">
      <w:pPr>
        <w:rPr>
          <w:rFonts w:cstheme="minorHAnsi"/>
          <w:b/>
          <w:color w:val="800000"/>
        </w:rPr>
      </w:pPr>
    </w:p>
    <w:p w14:paraId="7CF71575" w14:textId="4620A217" w:rsidR="005F48C8" w:rsidRPr="005F48C8" w:rsidRDefault="00A415D3" w:rsidP="003F1FCF">
      <w:pPr>
        <w:rPr>
          <w:rFonts w:cstheme="minorHAnsi"/>
          <w:b/>
          <w:color w:val="800000"/>
        </w:rPr>
      </w:pPr>
      <w:r>
        <w:rPr>
          <w:rFonts w:cstheme="minorHAnsi"/>
          <w:b/>
          <w:color w:val="800000"/>
        </w:rPr>
        <w:t xml:space="preserve">International </w:t>
      </w:r>
      <w:r w:rsidR="00587727">
        <w:rPr>
          <w:rFonts w:cstheme="minorHAnsi"/>
          <w:b/>
          <w:color w:val="800000"/>
        </w:rPr>
        <w:t>Legal framework</w:t>
      </w:r>
    </w:p>
    <w:p w14:paraId="0A5DE3CF" w14:textId="07213709" w:rsidR="005F48C8" w:rsidRPr="005F48C8" w:rsidRDefault="004F52C0" w:rsidP="003F1FCF">
      <w:pPr>
        <w:rPr>
          <w:rFonts w:cstheme="minorHAnsi"/>
        </w:rPr>
      </w:pPr>
      <w:r>
        <w:rPr>
          <w:rFonts w:cstheme="minorHAnsi"/>
        </w:rPr>
        <w:t>T</w:t>
      </w:r>
      <w:r w:rsidRPr="00F652CF">
        <w:rPr>
          <w:rFonts w:cstheme="minorHAnsi"/>
        </w:rPr>
        <w:t xml:space="preserve">he right to education has not been specifically applied to the life-course or to </w:t>
      </w:r>
      <w:r>
        <w:rPr>
          <w:rFonts w:cstheme="minorHAnsi"/>
        </w:rPr>
        <w:t>lifelong learning and education</w:t>
      </w:r>
      <w:r w:rsidRPr="00F652CF">
        <w:rPr>
          <w:rFonts w:cstheme="minorHAnsi"/>
        </w:rPr>
        <w:t xml:space="preserve"> in older age </w:t>
      </w:r>
      <w:r w:rsidR="00356964">
        <w:rPr>
          <w:rFonts w:cstheme="minorHAnsi"/>
        </w:rPr>
        <w:t>within</w:t>
      </w:r>
      <w:r w:rsidRPr="00F652CF">
        <w:rPr>
          <w:rFonts w:cstheme="minorHAnsi"/>
        </w:rPr>
        <w:t xml:space="preserve"> the international human rights framework. </w:t>
      </w:r>
      <w:r w:rsidR="005F48C8" w:rsidRPr="00F652CF">
        <w:rPr>
          <w:rFonts w:cstheme="minorHAnsi"/>
        </w:rPr>
        <w:t>The</w:t>
      </w:r>
      <w:r w:rsidR="00E246A1">
        <w:rPr>
          <w:rFonts w:cstheme="minorHAnsi"/>
        </w:rPr>
        <w:t>se</w:t>
      </w:r>
      <w:r w:rsidR="005F48C8" w:rsidRPr="00F652CF">
        <w:rPr>
          <w:rFonts w:cstheme="minorHAnsi"/>
        </w:rPr>
        <w:t xml:space="preserve"> recommendations on what the right to lifelong learning and education should look like are informed by older people’s experience as reported in this consultation</w:t>
      </w:r>
      <w:r w:rsidR="005F48C8" w:rsidRPr="00F652CF">
        <w:rPr>
          <w:rFonts w:cstheme="minorHAnsi"/>
          <w:b/>
        </w:rPr>
        <w:t xml:space="preserve">. </w:t>
      </w:r>
    </w:p>
    <w:p w14:paraId="4EF925DC" w14:textId="77777777" w:rsidR="005F48C8" w:rsidRPr="00F652CF" w:rsidRDefault="005F48C8" w:rsidP="003F1FCF">
      <w:pPr>
        <w:rPr>
          <w:rFonts w:cstheme="minorHAnsi"/>
          <w:b/>
        </w:rPr>
      </w:pPr>
    </w:p>
    <w:p w14:paraId="08191398" w14:textId="77777777" w:rsidR="00AE03C8" w:rsidRPr="00F652CF" w:rsidRDefault="00AE03C8" w:rsidP="00AE03C8">
      <w:pPr>
        <w:rPr>
          <w:rFonts w:cstheme="minorHAnsi"/>
          <w:b/>
        </w:rPr>
      </w:pPr>
      <w:r>
        <w:rPr>
          <w:rFonts w:cstheme="minorHAnsi"/>
          <w:b/>
        </w:rPr>
        <w:t>Older people</w:t>
      </w:r>
      <w:r w:rsidRPr="00F652CF">
        <w:rPr>
          <w:rFonts w:cstheme="minorHAnsi"/>
          <w:b/>
        </w:rPr>
        <w:t xml:space="preserve"> have the right to </w:t>
      </w:r>
      <w:r>
        <w:rPr>
          <w:rFonts w:cstheme="minorHAnsi"/>
          <w:b/>
        </w:rPr>
        <w:t xml:space="preserve">education and </w:t>
      </w:r>
      <w:r w:rsidRPr="00F652CF">
        <w:rPr>
          <w:rFonts w:cstheme="minorHAnsi"/>
          <w:b/>
        </w:rPr>
        <w:t xml:space="preserve">lifelong learning on an equal basis with others and without discrimination, so they can live </w:t>
      </w:r>
      <w:r>
        <w:rPr>
          <w:rFonts w:cstheme="minorHAnsi"/>
          <w:b/>
        </w:rPr>
        <w:t xml:space="preserve">dignified, </w:t>
      </w:r>
      <w:r w:rsidRPr="00F652CF">
        <w:rPr>
          <w:rFonts w:cstheme="minorHAnsi"/>
          <w:b/>
        </w:rPr>
        <w:t xml:space="preserve">autonomous and independent lives, fulfil their aspirations, build their skills and capacities, develop their full human potential and sense of dignity and self-worth, and </w:t>
      </w:r>
      <w:r>
        <w:rPr>
          <w:rFonts w:cstheme="minorHAnsi"/>
          <w:b/>
        </w:rPr>
        <w:t xml:space="preserve">fully </w:t>
      </w:r>
      <w:r w:rsidRPr="00F652CF">
        <w:rPr>
          <w:rFonts w:cstheme="minorHAnsi"/>
          <w:b/>
        </w:rPr>
        <w:t xml:space="preserve">participate in society. </w:t>
      </w:r>
    </w:p>
    <w:p w14:paraId="45115CF9" w14:textId="77777777" w:rsidR="00AE03C8" w:rsidRDefault="00AE03C8" w:rsidP="00AE03C8">
      <w:pPr>
        <w:pStyle w:val="BulletPoint"/>
        <w:numPr>
          <w:ilvl w:val="0"/>
          <w:numId w:val="0"/>
        </w:numPr>
        <w:ind w:left="360"/>
      </w:pPr>
    </w:p>
    <w:p w14:paraId="4628A37C" w14:textId="77777777" w:rsidR="00AE03C8" w:rsidRDefault="00AE03C8" w:rsidP="00AE03C8">
      <w:pPr>
        <w:pStyle w:val="BulletPoint"/>
        <w:numPr>
          <w:ilvl w:val="0"/>
          <w:numId w:val="0"/>
        </w:numPr>
      </w:pPr>
      <w:r w:rsidRPr="00F652CF">
        <w:t xml:space="preserve">The right shall cover </w:t>
      </w:r>
      <w:r w:rsidRPr="00644D1D">
        <w:t>all</w:t>
      </w:r>
      <w:r w:rsidRPr="00F652CF">
        <w:t xml:space="preserve"> forms of learning and education, including but not limited to tertiary education, vocational training and </w:t>
      </w:r>
      <w:r w:rsidRPr="00644D1D">
        <w:t>retraining</w:t>
      </w:r>
      <w:r w:rsidRPr="00F652CF">
        <w:t>, digital education, adult education, informal, recreational and community-based education, lifelong learning program</w:t>
      </w:r>
      <w:r>
        <w:t>me</w:t>
      </w:r>
      <w:r w:rsidRPr="00F652CF">
        <w:t>s, and skills training in literacy, numeracy and technological competencies.</w:t>
      </w:r>
    </w:p>
    <w:p w14:paraId="20149C86" w14:textId="77777777" w:rsidR="00AE03C8" w:rsidRDefault="00AE03C8" w:rsidP="00AE03C8">
      <w:pPr>
        <w:rPr>
          <w:rFonts w:cstheme="minorHAnsi"/>
          <w:b/>
        </w:rPr>
      </w:pPr>
    </w:p>
    <w:p w14:paraId="51C5774D" w14:textId="77777777" w:rsidR="00AE03C8" w:rsidRPr="004B25A0" w:rsidRDefault="00AE03C8" w:rsidP="00AE03C8">
      <w:pPr>
        <w:rPr>
          <w:rFonts w:cstheme="minorHAnsi"/>
          <w:b/>
        </w:rPr>
      </w:pPr>
      <w:r w:rsidRPr="004B25A0">
        <w:rPr>
          <w:rFonts w:cstheme="minorHAnsi"/>
          <w:b/>
        </w:rPr>
        <w:t>Non-discrimination and equality</w:t>
      </w:r>
    </w:p>
    <w:p w14:paraId="1F7EAEC6" w14:textId="77777777" w:rsidR="00AE03C8" w:rsidRPr="00F652CF" w:rsidRDefault="00AE03C8" w:rsidP="00AE03C8">
      <w:pPr>
        <w:pStyle w:val="BulletPoint"/>
        <w:rPr>
          <w:b/>
        </w:rPr>
      </w:pPr>
      <w:r>
        <w:t xml:space="preserve">All older people have the right to equal access to opportunities for </w:t>
      </w:r>
      <w:r w:rsidRPr="00F652CF">
        <w:t xml:space="preserve">all forms </w:t>
      </w:r>
      <w:r>
        <w:t xml:space="preserve">of </w:t>
      </w:r>
      <w:r w:rsidRPr="00F652CF">
        <w:t xml:space="preserve">learning and levels of education without discrimination based on age or any other </w:t>
      </w:r>
      <w:r>
        <w:t>grounds</w:t>
      </w:r>
      <w:r w:rsidRPr="00F652CF">
        <w:t>.</w:t>
      </w:r>
    </w:p>
    <w:p w14:paraId="5A03A7B0" w14:textId="77777777" w:rsidR="00AE03C8" w:rsidRDefault="00AE03C8" w:rsidP="00AE03C8">
      <w:pPr>
        <w:pStyle w:val="BulletPoint"/>
      </w:pPr>
      <w:r>
        <w:t xml:space="preserve">Older people have the right to equal access to digital learning and education platforms without discrimination on the basis of age or any other grounds. </w:t>
      </w:r>
    </w:p>
    <w:p w14:paraId="5944E8E5" w14:textId="77777777" w:rsidR="00AE03C8" w:rsidRPr="00F652CF" w:rsidRDefault="00AE03C8" w:rsidP="00AE03C8">
      <w:pPr>
        <w:pStyle w:val="BulletPoint"/>
      </w:pPr>
      <w:r>
        <w:t>Older people have the right to benefit from scholarships and other educational or study grants on an equal basis with others.</w:t>
      </w:r>
    </w:p>
    <w:p w14:paraId="43A790DA" w14:textId="77777777" w:rsidR="00AE03C8" w:rsidRPr="00F652CF" w:rsidRDefault="00AE03C8" w:rsidP="00AE03C8">
      <w:pPr>
        <w:pStyle w:val="BulletPoint"/>
      </w:pPr>
      <w:r w:rsidRPr="00F652CF">
        <w:t>States sh</w:t>
      </w:r>
      <w:r>
        <w:t xml:space="preserve">ould </w:t>
      </w:r>
      <w:r w:rsidRPr="00F652CF">
        <w:t>take steps to eliminate negative ageist stereotypes and prejudices about older people’s ability to learn.</w:t>
      </w:r>
    </w:p>
    <w:p w14:paraId="0E6CD81C" w14:textId="77777777" w:rsidR="00AE03C8" w:rsidRDefault="00AE03C8" w:rsidP="00AE03C8">
      <w:pPr>
        <w:rPr>
          <w:rFonts w:cstheme="minorHAnsi"/>
          <w:b/>
        </w:rPr>
      </w:pPr>
    </w:p>
    <w:p w14:paraId="00AB66A5" w14:textId="77777777" w:rsidR="00AE03C8" w:rsidRPr="00F652CF" w:rsidRDefault="00AE03C8" w:rsidP="00AE03C8">
      <w:pPr>
        <w:rPr>
          <w:rFonts w:cstheme="minorHAnsi"/>
          <w:b/>
        </w:rPr>
      </w:pPr>
      <w:r w:rsidRPr="00F652CF">
        <w:rPr>
          <w:rFonts w:cstheme="minorHAnsi"/>
          <w:b/>
        </w:rPr>
        <w:t>Accessibility</w:t>
      </w:r>
    </w:p>
    <w:p w14:paraId="4A8D6B75" w14:textId="77777777" w:rsidR="00AE03C8" w:rsidRDefault="00AE03C8" w:rsidP="00AE03C8">
      <w:pPr>
        <w:pStyle w:val="BulletPoint"/>
      </w:pPr>
      <w:r>
        <w:t>Older people have the right to affordable education and lifelong learning opportunities that fit their needs, preferences, skills, motivations and diverse identities.</w:t>
      </w:r>
    </w:p>
    <w:p w14:paraId="2E604518" w14:textId="77777777" w:rsidR="00AE03C8" w:rsidRPr="0068656C" w:rsidRDefault="00AE03C8" w:rsidP="00AE03C8">
      <w:pPr>
        <w:pStyle w:val="BulletPoint"/>
        <w:rPr>
          <w:rFonts w:cstheme="minorHAnsi"/>
          <w:szCs w:val="24"/>
        </w:rPr>
      </w:pPr>
      <w:r>
        <w:t>Older people have the right to education and lifelong learning opportunities in settings that are accessible to them, including in their communities and in care and support settings.</w:t>
      </w:r>
    </w:p>
    <w:p w14:paraId="3E4763A4" w14:textId="77777777" w:rsidR="00AE03C8" w:rsidRPr="00F652CF" w:rsidRDefault="00AE03C8" w:rsidP="00AE03C8">
      <w:pPr>
        <w:pStyle w:val="BulletPoint"/>
        <w:numPr>
          <w:ilvl w:val="0"/>
          <w:numId w:val="0"/>
        </w:numPr>
        <w:ind w:left="360"/>
        <w:rPr>
          <w:rFonts w:cstheme="minorHAnsi"/>
          <w:szCs w:val="24"/>
        </w:rPr>
      </w:pPr>
    </w:p>
    <w:p w14:paraId="53C64DB7" w14:textId="77777777" w:rsidR="00AE03C8" w:rsidRPr="0068656C" w:rsidRDefault="00AE03C8" w:rsidP="00AE03C8">
      <w:pPr>
        <w:rPr>
          <w:rFonts w:cstheme="minorHAnsi"/>
          <w:b/>
        </w:rPr>
      </w:pPr>
      <w:r w:rsidRPr="0068656C">
        <w:rPr>
          <w:rFonts w:cstheme="minorHAnsi"/>
          <w:b/>
        </w:rPr>
        <w:t>Availability</w:t>
      </w:r>
    </w:p>
    <w:p w14:paraId="79A035BA" w14:textId="77777777" w:rsidR="00AE03C8" w:rsidRPr="0068656C" w:rsidRDefault="00AE03C8" w:rsidP="00AE03C8">
      <w:pPr>
        <w:pStyle w:val="BulletPoint"/>
      </w:pPr>
      <w:r w:rsidRPr="0068656C">
        <w:t xml:space="preserve">Older people </w:t>
      </w:r>
      <w:r>
        <w:t>have the right to</w:t>
      </w:r>
      <w:r w:rsidRPr="0068656C">
        <w:t xml:space="preserve"> equal access to opportunities for education and lifelong learning available to the general public and to learning opportunities adapted to their specific needs, preferences, skills, motivations and diverse identities.</w:t>
      </w:r>
    </w:p>
    <w:p w14:paraId="123A0F05" w14:textId="77777777" w:rsidR="00AE03C8" w:rsidRPr="00F652CF" w:rsidRDefault="00AE03C8" w:rsidP="00AE03C8">
      <w:pPr>
        <w:rPr>
          <w:rFonts w:cstheme="minorHAnsi"/>
        </w:rPr>
      </w:pPr>
    </w:p>
    <w:p w14:paraId="585EDC67" w14:textId="77777777" w:rsidR="00AE03C8" w:rsidRPr="0068656C" w:rsidRDefault="00AE03C8" w:rsidP="00AE03C8">
      <w:pPr>
        <w:rPr>
          <w:rFonts w:cstheme="minorHAnsi"/>
          <w:b/>
        </w:rPr>
      </w:pPr>
      <w:r w:rsidRPr="0068656C">
        <w:rPr>
          <w:rFonts w:cstheme="minorHAnsi"/>
          <w:b/>
        </w:rPr>
        <w:t xml:space="preserve">Acceptability </w:t>
      </w:r>
    </w:p>
    <w:p w14:paraId="4A3A2DFD" w14:textId="11BFECF3" w:rsidR="00AE03C8" w:rsidRDefault="00AE03C8" w:rsidP="00AE03C8">
      <w:pPr>
        <w:pStyle w:val="BulletPoint"/>
      </w:pPr>
      <w:r w:rsidRPr="0068656C">
        <w:t xml:space="preserve">Older people </w:t>
      </w:r>
      <w:r>
        <w:t>have the right to</w:t>
      </w:r>
      <w:r w:rsidRPr="0068656C">
        <w:t xml:space="preserve"> access, and be involved in the development and design of, appropriate and acceptable education and lifelong learning opportunities that are adapted to their needs, preferences, skills, motivations and diverse identities including, but not limited to,</w:t>
      </w:r>
      <w:r>
        <w:t xml:space="preserve"> design of and</w:t>
      </w:r>
      <w:r w:rsidRPr="0068656C">
        <w:t xml:space="preserve"> training in new technologies, so they can develop their full human potential, personality, creativity, talents and sense of dignity and self-worth.</w:t>
      </w:r>
    </w:p>
    <w:p w14:paraId="35032332" w14:textId="77777777" w:rsidR="00AE03C8" w:rsidRDefault="00AE03C8" w:rsidP="00AE03C8">
      <w:pPr>
        <w:pStyle w:val="BulletPoint"/>
      </w:pPr>
      <w:r>
        <w:t>Older people have the right to learning and educational materials in an accessible and acceptable format.</w:t>
      </w:r>
    </w:p>
    <w:p w14:paraId="5469F84D" w14:textId="77777777" w:rsidR="00AE03C8" w:rsidRPr="0068656C" w:rsidRDefault="00AE03C8" w:rsidP="00AE03C8">
      <w:pPr>
        <w:pStyle w:val="BulletPoint"/>
        <w:numPr>
          <w:ilvl w:val="0"/>
          <w:numId w:val="0"/>
        </w:numPr>
        <w:ind w:left="360"/>
      </w:pPr>
    </w:p>
    <w:p w14:paraId="0067723A" w14:textId="77777777" w:rsidR="00AE03C8" w:rsidRPr="00F652CF" w:rsidRDefault="00AE03C8" w:rsidP="00AE03C8">
      <w:pPr>
        <w:rPr>
          <w:rFonts w:cstheme="minorHAnsi"/>
          <w:b/>
        </w:rPr>
      </w:pPr>
      <w:r>
        <w:rPr>
          <w:rFonts w:cstheme="minorHAnsi"/>
          <w:b/>
        </w:rPr>
        <w:t>Accountability, r</w:t>
      </w:r>
      <w:r w:rsidRPr="00F652CF">
        <w:rPr>
          <w:rFonts w:cstheme="minorHAnsi"/>
          <w:b/>
        </w:rPr>
        <w:t>emedies and redress</w:t>
      </w:r>
    </w:p>
    <w:p w14:paraId="1B95BCCA" w14:textId="77777777" w:rsidR="00AE03C8" w:rsidRPr="0068656C" w:rsidRDefault="00AE03C8" w:rsidP="00AE03C8">
      <w:pPr>
        <w:pStyle w:val="BulletPoint"/>
      </w:pPr>
      <w:r>
        <w:t>Older people have the right to accountability mechanisms that provide for complaints and appeals, and for remedies and redress when their right to education and lifelong learning is violated.</w:t>
      </w:r>
    </w:p>
    <w:p w14:paraId="5A78612E" w14:textId="77777777" w:rsidR="00AE03C8" w:rsidRDefault="00AE03C8" w:rsidP="00AE03C8">
      <w:pPr>
        <w:pStyle w:val="BulletPoint"/>
      </w:pPr>
      <w:r w:rsidRPr="00F652CF">
        <w:t xml:space="preserve">Safeguards </w:t>
      </w:r>
      <w:r>
        <w:t>must</w:t>
      </w:r>
      <w:r w:rsidRPr="00F652CF">
        <w:t xml:space="preserve"> be in place to protect against breaches of the right to </w:t>
      </w:r>
      <w:r>
        <w:t xml:space="preserve">education and </w:t>
      </w:r>
      <w:r w:rsidRPr="00F652CF">
        <w:t>lifelong learning, including breaches of privacy and security of data on digital and online learning platforms.</w:t>
      </w:r>
    </w:p>
    <w:p w14:paraId="408B53DF" w14:textId="5D5AB5EE" w:rsidR="00F86C09" w:rsidRDefault="00F86C09" w:rsidP="00AE03C8">
      <w:pPr>
        <w:rPr>
          <w:rFonts w:cstheme="minorHAnsi"/>
        </w:rPr>
      </w:pPr>
    </w:p>
    <w:p w14:paraId="7C025A34" w14:textId="014B6891" w:rsidR="00907168" w:rsidRDefault="00907168" w:rsidP="00AE03C8">
      <w:pPr>
        <w:rPr>
          <w:rFonts w:cstheme="minorHAnsi"/>
        </w:rPr>
      </w:pPr>
    </w:p>
    <w:p w14:paraId="44F736E7" w14:textId="5B02068C" w:rsidR="00907168" w:rsidRDefault="00907168" w:rsidP="00AE03C8">
      <w:pPr>
        <w:rPr>
          <w:rFonts w:cstheme="minorHAnsi"/>
        </w:rPr>
      </w:pPr>
    </w:p>
    <w:p w14:paraId="77C20ADD" w14:textId="77777777" w:rsidR="00907168" w:rsidRDefault="00907168" w:rsidP="00AE03C8">
      <w:pPr>
        <w:rPr>
          <w:rFonts w:cstheme="minorHAnsi"/>
        </w:rPr>
      </w:pPr>
      <w:bookmarkStart w:id="2" w:name="_GoBack"/>
      <w:bookmarkEnd w:id="2"/>
    </w:p>
    <w:p w14:paraId="56040B09" w14:textId="4533EC8D" w:rsidR="009068E4" w:rsidRPr="009068E4" w:rsidRDefault="009068E4" w:rsidP="00AE03C8">
      <w:pPr>
        <w:rPr>
          <w:rFonts w:cstheme="minorHAnsi"/>
          <w:sz w:val="20"/>
          <w:szCs w:val="20"/>
        </w:rPr>
      </w:pPr>
      <w:r w:rsidRPr="00123687">
        <w:rPr>
          <w:rFonts w:cstheme="minorHAnsi"/>
          <w:sz w:val="20"/>
          <w:szCs w:val="20"/>
        </w:rPr>
        <w:t>A full report of the consultation findings will be submitted to the OEWG in advance of the 10</w:t>
      </w:r>
      <w:r w:rsidRPr="00123687">
        <w:rPr>
          <w:rFonts w:cstheme="minorHAnsi"/>
          <w:sz w:val="20"/>
          <w:szCs w:val="20"/>
          <w:vertAlign w:val="superscript"/>
        </w:rPr>
        <w:t>th</w:t>
      </w:r>
      <w:r w:rsidRPr="00123687">
        <w:rPr>
          <w:rFonts w:cstheme="minorHAnsi"/>
          <w:sz w:val="20"/>
          <w:szCs w:val="20"/>
        </w:rPr>
        <w:t xml:space="preserve"> Session. For further information contact Bridget Sleap, HelpAge International </w:t>
      </w:r>
      <w:hyperlink r:id="rId9" w:history="1">
        <w:r w:rsidRPr="00123687">
          <w:rPr>
            <w:rStyle w:val="Hyperlink"/>
            <w:rFonts w:cstheme="minorHAnsi"/>
            <w:sz w:val="20"/>
            <w:szCs w:val="20"/>
          </w:rPr>
          <w:t>bsleap@helpage.org</w:t>
        </w:r>
      </w:hyperlink>
      <w:r w:rsidRPr="00123687">
        <w:rPr>
          <w:rFonts w:cstheme="minorHAnsi"/>
          <w:sz w:val="20"/>
          <w:szCs w:val="20"/>
        </w:rPr>
        <w:t xml:space="preserve">  </w:t>
      </w:r>
    </w:p>
    <w:sectPr w:rsidR="009068E4" w:rsidRPr="009068E4" w:rsidSect="00CC478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E9CAF" w14:textId="77777777" w:rsidR="0074796B" w:rsidRDefault="0074796B" w:rsidP="00F86C09">
      <w:r>
        <w:separator/>
      </w:r>
    </w:p>
  </w:endnote>
  <w:endnote w:type="continuationSeparator" w:id="0">
    <w:p w14:paraId="698A7FF9" w14:textId="77777777" w:rsidR="0074796B" w:rsidRDefault="0074796B" w:rsidP="00F8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0835C" w14:textId="77777777" w:rsidR="00847B54" w:rsidRDefault="00847B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9638476"/>
      <w:docPartObj>
        <w:docPartGallery w:val="Page Numbers (Bottom of Page)"/>
        <w:docPartUnique/>
      </w:docPartObj>
    </w:sdtPr>
    <w:sdtEndPr>
      <w:rPr>
        <w:noProof/>
        <w:sz w:val="20"/>
        <w:szCs w:val="20"/>
      </w:rPr>
    </w:sdtEndPr>
    <w:sdtContent>
      <w:p w14:paraId="4FD48247" w14:textId="655B9601" w:rsidR="00E95E95" w:rsidRPr="00AE1515" w:rsidRDefault="00E95E95">
        <w:pPr>
          <w:pStyle w:val="Footer"/>
          <w:jc w:val="right"/>
          <w:rPr>
            <w:sz w:val="20"/>
            <w:szCs w:val="20"/>
          </w:rPr>
        </w:pPr>
        <w:r w:rsidRPr="00AE1515">
          <w:rPr>
            <w:sz w:val="20"/>
            <w:szCs w:val="20"/>
          </w:rPr>
          <w:fldChar w:fldCharType="begin"/>
        </w:r>
        <w:r w:rsidRPr="00AE1515">
          <w:rPr>
            <w:sz w:val="20"/>
            <w:szCs w:val="20"/>
          </w:rPr>
          <w:instrText xml:space="preserve"> PAGE   \* MERGEFORMAT </w:instrText>
        </w:r>
        <w:r w:rsidRPr="00AE1515">
          <w:rPr>
            <w:sz w:val="20"/>
            <w:szCs w:val="20"/>
          </w:rPr>
          <w:fldChar w:fldCharType="separate"/>
        </w:r>
        <w:r w:rsidR="00AF6415">
          <w:rPr>
            <w:noProof/>
            <w:sz w:val="20"/>
            <w:szCs w:val="20"/>
          </w:rPr>
          <w:t>3</w:t>
        </w:r>
        <w:r w:rsidRPr="00AE1515">
          <w:rPr>
            <w:noProof/>
            <w:sz w:val="20"/>
            <w:szCs w:val="20"/>
          </w:rPr>
          <w:fldChar w:fldCharType="end"/>
        </w:r>
      </w:p>
    </w:sdtContent>
  </w:sdt>
  <w:p w14:paraId="2696C0DA" w14:textId="77777777" w:rsidR="00E95E95" w:rsidRDefault="00E95E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71DF9" w14:textId="77777777" w:rsidR="00847B54" w:rsidRDefault="00847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2869D" w14:textId="77777777" w:rsidR="0074796B" w:rsidRDefault="0074796B" w:rsidP="00F86C09">
      <w:r>
        <w:separator/>
      </w:r>
    </w:p>
  </w:footnote>
  <w:footnote w:type="continuationSeparator" w:id="0">
    <w:p w14:paraId="68106A8F" w14:textId="77777777" w:rsidR="0074796B" w:rsidRDefault="0074796B" w:rsidP="00F86C09">
      <w:r>
        <w:continuationSeparator/>
      </w:r>
    </w:p>
  </w:footnote>
  <w:footnote w:id="1">
    <w:p w14:paraId="15065A91" w14:textId="77777777" w:rsidR="00B225AF" w:rsidRPr="00CB610F" w:rsidRDefault="00B225AF" w:rsidP="00B225AF">
      <w:pPr>
        <w:rPr>
          <w:rFonts w:cstheme="minorHAnsi"/>
          <w:sz w:val="18"/>
          <w:szCs w:val="18"/>
        </w:rPr>
      </w:pPr>
      <w:r w:rsidRPr="00CB610F">
        <w:rPr>
          <w:rStyle w:val="FootnoteReference"/>
          <w:rFonts w:cstheme="minorHAnsi"/>
          <w:sz w:val="18"/>
          <w:szCs w:val="18"/>
        </w:rPr>
        <w:footnoteRef/>
      </w:r>
      <w:r w:rsidRPr="00CB610F">
        <w:rPr>
          <w:rFonts w:cstheme="minorHAnsi"/>
          <w:sz w:val="18"/>
          <w:szCs w:val="18"/>
        </w:rPr>
        <w:t xml:space="preserve"> </w:t>
      </w:r>
      <w:bookmarkStart w:id="0" w:name="_Hlk533070208"/>
      <w:r w:rsidRPr="00CB610F">
        <w:rPr>
          <w:rFonts w:cstheme="minorHAnsi"/>
          <w:sz w:val="18"/>
          <w:szCs w:val="18"/>
        </w:rPr>
        <w:t>Argentina, Cambodia, Denmark, Finland, Jordan, Kenya, Kyrgyzstan, Lesotho, Mauritius, Moldova, Mongolia, Myanmar, Nepal, Russian Federation, Rwanda, Serbia, Slovenia, South Africa, Sudan, Tajikistan, Tanzania, Ukraine, Zambia</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1E863" w14:textId="77777777" w:rsidR="00847B54" w:rsidRDefault="00847B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D9F25" w14:textId="7E83511C" w:rsidR="00E95E95" w:rsidRPr="00AE1515" w:rsidRDefault="00E95E95">
    <w:pPr>
      <w:pStyle w:val="Header"/>
      <w:rPr>
        <w:rFonts w:cstheme="minorHAnsi"/>
        <w:sz w:val="20"/>
        <w:szCs w:val="20"/>
      </w:rPr>
    </w:pPr>
    <w:r w:rsidRPr="00AE1515">
      <w:rPr>
        <w:rFonts w:cstheme="minorHAnsi"/>
        <w:sz w:val="20"/>
        <w:szCs w:val="20"/>
      </w:rPr>
      <w:t xml:space="preserve">HelpAge International, </w:t>
    </w:r>
    <w:r w:rsidR="0047217E">
      <w:rPr>
        <w:rFonts w:cstheme="minorHAnsi"/>
        <w:sz w:val="20"/>
        <w:szCs w:val="20"/>
      </w:rPr>
      <w:t>February 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8BF65" w14:textId="77777777" w:rsidR="00847B54" w:rsidRDefault="00847B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829"/>
    <w:multiLevelType w:val="hybridMultilevel"/>
    <w:tmpl w:val="EEA24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D22F0"/>
    <w:multiLevelType w:val="hybridMultilevel"/>
    <w:tmpl w:val="E0DE5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18787E"/>
    <w:multiLevelType w:val="hybridMultilevel"/>
    <w:tmpl w:val="E5E08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8E4AF8"/>
    <w:multiLevelType w:val="hybridMultilevel"/>
    <w:tmpl w:val="91168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F22D6"/>
    <w:multiLevelType w:val="hybridMultilevel"/>
    <w:tmpl w:val="E4AAD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4E29D2"/>
    <w:multiLevelType w:val="hybridMultilevel"/>
    <w:tmpl w:val="5A8A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6697E"/>
    <w:multiLevelType w:val="hybridMultilevel"/>
    <w:tmpl w:val="B8C27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EB44D8"/>
    <w:multiLevelType w:val="hybridMultilevel"/>
    <w:tmpl w:val="8C062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7C2992"/>
    <w:multiLevelType w:val="hybridMultilevel"/>
    <w:tmpl w:val="E6804C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5B26545"/>
    <w:multiLevelType w:val="hybridMultilevel"/>
    <w:tmpl w:val="8B2C98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9F13F11"/>
    <w:multiLevelType w:val="hybridMultilevel"/>
    <w:tmpl w:val="E0803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11732C"/>
    <w:multiLevelType w:val="hybridMultilevel"/>
    <w:tmpl w:val="9D42662C"/>
    <w:lvl w:ilvl="0" w:tplc="09822F5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E44A43"/>
    <w:multiLevelType w:val="hybridMultilevel"/>
    <w:tmpl w:val="7376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3E77FA"/>
    <w:multiLevelType w:val="hybridMultilevel"/>
    <w:tmpl w:val="E716E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1B2D4C"/>
    <w:multiLevelType w:val="hybridMultilevel"/>
    <w:tmpl w:val="BC0CB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A673BC"/>
    <w:multiLevelType w:val="hybridMultilevel"/>
    <w:tmpl w:val="4692DECA"/>
    <w:lvl w:ilvl="0" w:tplc="3CFABDB8">
      <w:start w:val="1"/>
      <w:numFmt w:val="bullet"/>
      <w:pStyle w:val="BulletPoint"/>
      <w:lvlText w:val=""/>
      <w:lvlJc w:val="left"/>
      <w:pPr>
        <w:ind w:left="360" w:hanging="360"/>
      </w:pPr>
      <w:rPr>
        <w:rFonts w:ascii="Symbol" w:hAnsi="Symbol" w:hint="default"/>
        <w:color w:val="000000" w:themeColor="text1"/>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C61FF1"/>
    <w:multiLevelType w:val="multilevel"/>
    <w:tmpl w:val="36A84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3F1CB1"/>
    <w:multiLevelType w:val="hybridMultilevel"/>
    <w:tmpl w:val="37C8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345182"/>
    <w:multiLevelType w:val="hybridMultilevel"/>
    <w:tmpl w:val="D63EA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2D6AD1"/>
    <w:multiLevelType w:val="hybridMultilevel"/>
    <w:tmpl w:val="44062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085CBF"/>
    <w:multiLevelType w:val="hybridMultilevel"/>
    <w:tmpl w:val="8556AD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60C7672"/>
    <w:multiLevelType w:val="hybridMultilevel"/>
    <w:tmpl w:val="A55C3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07477A"/>
    <w:multiLevelType w:val="hybridMultilevel"/>
    <w:tmpl w:val="02D2B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
  </w:num>
  <w:num w:numId="4">
    <w:abstractNumId w:val="19"/>
  </w:num>
  <w:num w:numId="5">
    <w:abstractNumId w:val="12"/>
  </w:num>
  <w:num w:numId="6">
    <w:abstractNumId w:val="4"/>
  </w:num>
  <w:num w:numId="7">
    <w:abstractNumId w:val="21"/>
  </w:num>
  <w:num w:numId="8">
    <w:abstractNumId w:val="7"/>
  </w:num>
  <w:num w:numId="9">
    <w:abstractNumId w:val="11"/>
  </w:num>
  <w:num w:numId="10">
    <w:abstractNumId w:val="8"/>
  </w:num>
  <w:num w:numId="11">
    <w:abstractNumId w:val="9"/>
  </w:num>
  <w:num w:numId="12">
    <w:abstractNumId w:val="0"/>
  </w:num>
  <w:num w:numId="13">
    <w:abstractNumId w:val="10"/>
  </w:num>
  <w:num w:numId="14">
    <w:abstractNumId w:val="18"/>
  </w:num>
  <w:num w:numId="15">
    <w:abstractNumId w:val="13"/>
  </w:num>
  <w:num w:numId="16">
    <w:abstractNumId w:val="20"/>
  </w:num>
  <w:num w:numId="17">
    <w:abstractNumId w:val="16"/>
  </w:num>
  <w:num w:numId="18">
    <w:abstractNumId w:val="2"/>
  </w:num>
  <w:num w:numId="19">
    <w:abstractNumId w:val="22"/>
  </w:num>
  <w:num w:numId="20">
    <w:abstractNumId w:val="3"/>
  </w:num>
  <w:num w:numId="21">
    <w:abstractNumId w:val="6"/>
  </w:num>
  <w:num w:numId="22">
    <w:abstractNumId w:val="1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C09"/>
    <w:rsid w:val="000147AD"/>
    <w:rsid w:val="0003757F"/>
    <w:rsid w:val="0004080E"/>
    <w:rsid w:val="00041CD7"/>
    <w:rsid w:val="0006546F"/>
    <w:rsid w:val="00071D0A"/>
    <w:rsid w:val="000724F8"/>
    <w:rsid w:val="000C20ED"/>
    <w:rsid w:val="0010269A"/>
    <w:rsid w:val="00107A5D"/>
    <w:rsid w:val="001521A1"/>
    <w:rsid w:val="00230223"/>
    <w:rsid w:val="002378BD"/>
    <w:rsid w:val="002B0842"/>
    <w:rsid w:val="002B6848"/>
    <w:rsid w:val="00305DE8"/>
    <w:rsid w:val="00320C4E"/>
    <w:rsid w:val="00356964"/>
    <w:rsid w:val="003B1FC2"/>
    <w:rsid w:val="003F1FCF"/>
    <w:rsid w:val="004153CD"/>
    <w:rsid w:val="00443BB6"/>
    <w:rsid w:val="00446C28"/>
    <w:rsid w:val="00455FE6"/>
    <w:rsid w:val="0047217E"/>
    <w:rsid w:val="004852E0"/>
    <w:rsid w:val="004923B8"/>
    <w:rsid w:val="004E07CB"/>
    <w:rsid w:val="004E4E8F"/>
    <w:rsid w:val="004F52C0"/>
    <w:rsid w:val="004F7758"/>
    <w:rsid w:val="00523416"/>
    <w:rsid w:val="005409E6"/>
    <w:rsid w:val="00587727"/>
    <w:rsid w:val="00597CA9"/>
    <w:rsid w:val="005A1A6F"/>
    <w:rsid w:val="005A4AA6"/>
    <w:rsid w:val="005B3063"/>
    <w:rsid w:val="005C4BE3"/>
    <w:rsid w:val="005E47E7"/>
    <w:rsid w:val="005F48C8"/>
    <w:rsid w:val="005F6EDF"/>
    <w:rsid w:val="00681002"/>
    <w:rsid w:val="00682612"/>
    <w:rsid w:val="00692D5D"/>
    <w:rsid w:val="006B182A"/>
    <w:rsid w:val="006E7F3C"/>
    <w:rsid w:val="006F3022"/>
    <w:rsid w:val="00706863"/>
    <w:rsid w:val="007149E1"/>
    <w:rsid w:val="0074796B"/>
    <w:rsid w:val="007A2E53"/>
    <w:rsid w:val="007A433C"/>
    <w:rsid w:val="007B79D7"/>
    <w:rsid w:val="007D4A95"/>
    <w:rsid w:val="007F3FF4"/>
    <w:rsid w:val="00804DA9"/>
    <w:rsid w:val="00831A78"/>
    <w:rsid w:val="00847B54"/>
    <w:rsid w:val="008702E5"/>
    <w:rsid w:val="008A0E05"/>
    <w:rsid w:val="008B6BA5"/>
    <w:rsid w:val="008D3CC8"/>
    <w:rsid w:val="008F5C05"/>
    <w:rsid w:val="009068E4"/>
    <w:rsid w:val="00907168"/>
    <w:rsid w:val="009251CF"/>
    <w:rsid w:val="00963A74"/>
    <w:rsid w:val="00976777"/>
    <w:rsid w:val="009A38B4"/>
    <w:rsid w:val="009C5CE6"/>
    <w:rsid w:val="009D7AC9"/>
    <w:rsid w:val="009F7768"/>
    <w:rsid w:val="00A33FE7"/>
    <w:rsid w:val="00A415D3"/>
    <w:rsid w:val="00A60CE4"/>
    <w:rsid w:val="00AB6200"/>
    <w:rsid w:val="00AC32C9"/>
    <w:rsid w:val="00AD7604"/>
    <w:rsid w:val="00AE03C8"/>
    <w:rsid w:val="00AE1515"/>
    <w:rsid w:val="00AF1CEC"/>
    <w:rsid w:val="00AF6415"/>
    <w:rsid w:val="00B048E9"/>
    <w:rsid w:val="00B0733D"/>
    <w:rsid w:val="00B13253"/>
    <w:rsid w:val="00B225AF"/>
    <w:rsid w:val="00B337FD"/>
    <w:rsid w:val="00B91366"/>
    <w:rsid w:val="00B959EA"/>
    <w:rsid w:val="00BB02E3"/>
    <w:rsid w:val="00C02003"/>
    <w:rsid w:val="00C047E7"/>
    <w:rsid w:val="00C45404"/>
    <w:rsid w:val="00C56DA4"/>
    <w:rsid w:val="00C662E9"/>
    <w:rsid w:val="00C6796B"/>
    <w:rsid w:val="00CA6184"/>
    <w:rsid w:val="00CB7303"/>
    <w:rsid w:val="00CC478E"/>
    <w:rsid w:val="00CF1FB3"/>
    <w:rsid w:val="00CF7BFC"/>
    <w:rsid w:val="00D123A4"/>
    <w:rsid w:val="00D148F0"/>
    <w:rsid w:val="00D27B16"/>
    <w:rsid w:val="00D75CD8"/>
    <w:rsid w:val="00DA60FD"/>
    <w:rsid w:val="00DB1FE5"/>
    <w:rsid w:val="00E246A1"/>
    <w:rsid w:val="00E52655"/>
    <w:rsid w:val="00E744AC"/>
    <w:rsid w:val="00E81727"/>
    <w:rsid w:val="00E94FA7"/>
    <w:rsid w:val="00E95E95"/>
    <w:rsid w:val="00EE68D8"/>
    <w:rsid w:val="00EE6E92"/>
    <w:rsid w:val="00F56286"/>
    <w:rsid w:val="00F56C06"/>
    <w:rsid w:val="00F578F9"/>
    <w:rsid w:val="00F64EAD"/>
    <w:rsid w:val="00F7075C"/>
    <w:rsid w:val="00F86C09"/>
    <w:rsid w:val="00FB3455"/>
    <w:rsid w:val="00FF26B6"/>
    <w:rsid w:val="00FF2D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17F859"/>
  <w15:docId w15:val="{E54D795C-2218-4F02-97DB-6C0A1099C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6C09"/>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C09"/>
    <w:pPr>
      <w:ind w:left="720"/>
      <w:contextualSpacing/>
    </w:pPr>
  </w:style>
  <w:style w:type="character" w:styleId="Hyperlink">
    <w:name w:val="Hyperlink"/>
    <w:basedOn w:val="DefaultParagraphFont"/>
    <w:uiPriority w:val="99"/>
    <w:unhideWhenUsed/>
    <w:rsid w:val="00F86C09"/>
    <w:rPr>
      <w:color w:val="0563C1" w:themeColor="hyperlink"/>
      <w:u w:val="single"/>
    </w:rPr>
  </w:style>
  <w:style w:type="paragraph" w:styleId="Header">
    <w:name w:val="header"/>
    <w:basedOn w:val="Normal"/>
    <w:link w:val="HeaderChar"/>
    <w:uiPriority w:val="99"/>
    <w:unhideWhenUsed/>
    <w:rsid w:val="00F86C09"/>
    <w:pPr>
      <w:tabs>
        <w:tab w:val="center" w:pos="4513"/>
        <w:tab w:val="right" w:pos="9026"/>
      </w:tabs>
    </w:pPr>
  </w:style>
  <w:style w:type="character" w:customStyle="1" w:styleId="HeaderChar">
    <w:name w:val="Header Char"/>
    <w:basedOn w:val="DefaultParagraphFont"/>
    <w:link w:val="Header"/>
    <w:uiPriority w:val="99"/>
    <w:rsid w:val="00F86C09"/>
    <w:rPr>
      <w:rFonts w:eastAsiaTheme="minorEastAsia"/>
      <w:sz w:val="24"/>
      <w:szCs w:val="24"/>
      <w:lang w:val="en-US"/>
    </w:rPr>
  </w:style>
  <w:style w:type="paragraph" w:styleId="Footer">
    <w:name w:val="footer"/>
    <w:basedOn w:val="Normal"/>
    <w:link w:val="FooterChar"/>
    <w:uiPriority w:val="99"/>
    <w:unhideWhenUsed/>
    <w:rsid w:val="00F86C09"/>
    <w:pPr>
      <w:tabs>
        <w:tab w:val="center" w:pos="4513"/>
        <w:tab w:val="right" w:pos="9026"/>
      </w:tabs>
    </w:pPr>
  </w:style>
  <w:style w:type="character" w:customStyle="1" w:styleId="FooterChar">
    <w:name w:val="Footer Char"/>
    <w:basedOn w:val="DefaultParagraphFont"/>
    <w:link w:val="Footer"/>
    <w:uiPriority w:val="99"/>
    <w:rsid w:val="00F86C09"/>
    <w:rPr>
      <w:rFonts w:eastAsiaTheme="minorEastAsia"/>
      <w:sz w:val="24"/>
      <w:szCs w:val="24"/>
      <w:lang w:val="en-US"/>
    </w:rPr>
  </w:style>
  <w:style w:type="paragraph" w:styleId="FootnoteText">
    <w:name w:val="footnote text"/>
    <w:basedOn w:val="Normal"/>
    <w:link w:val="FootnoteTextChar"/>
    <w:uiPriority w:val="99"/>
    <w:semiHidden/>
    <w:unhideWhenUsed/>
    <w:rsid w:val="00F56286"/>
    <w:rPr>
      <w:sz w:val="20"/>
      <w:szCs w:val="20"/>
    </w:rPr>
  </w:style>
  <w:style w:type="character" w:customStyle="1" w:styleId="FootnoteTextChar">
    <w:name w:val="Footnote Text Char"/>
    <w:basedOn w:val="DefaultParagraphFont"/>
    <w:link w:val="FootnoteText"/>
    <w:uiPriority w:val="99"/>
    <w:semiHidden/>
    <w:rsid w:val="00F56286"/>
    <w:rPr>
      <w:rFonts w:eastAsiaTheme="minorEastAsia"/>
      <w:sz w:val="20"/>
      <w:szCs w:val="20"/>
      <w:lang w:val="en-US"/>
    </w:rPr>
  </w:style>
  <w:style w:type="character" w:styleId="FootnoteReference">
    <w:name w:val="footnote reference"/>
    <w:basedOn w:val="DefaultParagraphFont"/>
    <w:uiPriority w:val="99"/>
    <w:unhideWhenUsed/>
    <w:rsid w:val="00F56286"/>
    <w:rPr>
      <w:vertAlign w:val="superscript"/>
    </w:rPr>
  </w:style>
  <w:style w:type="paragraph" w:styleId="BalloonText">
    <w:name w:val="Balloon Text"/>
    <w:basedOn w:val="Normal"/>
    <w:link w:val="BalloonTextChar"/>
    <w:uiPriority w:val="99"/>
    <w:semiHidden/>
    <w:unhideWhenUsed/>
    <w:rsid w:val="008F5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C05"/>
    <w:rPr>
      <w:rFonts w:ascii="Segoe UI" w:eastAsiaTheme="minorEastAsia" w:hAnsi="Segoe UI" w:cs="Segoe UI"/>
      <w:sz w:val="18"/>
      <w:szCs w:val="18"/>
      <w:lang w:val="en-US"/>
    </w:rPr>
  </w:style>
  <w:style w:type="paragraph" w:styleId="NormalWeb">
    <w:name w:val="Normal (Web)"/>
    <w:basedOn w:val="Normal"/>
    <w:uiPriority w:val="99"/>
    <w:semiHidden/>
    <w:unhideWhenUsed/>
    <w:rsid w:val="00AE1515"/>
    <w:rPr>
      <w:rFonts w:ascii="Times New Roman" w:hAnsi="Times New Roman" w:cs="Times New Roman"/>
    </w:rPr>
  </w:style>
  <w:style w:type="character" w:styleId="FollowedHyperlink">
    <w:name w:val="FollowedHyperlink"/>
    <w:basedOn w:val="DefaultParagraphFont"/>
    <w:uiPriority w:val="99"/>
    <w:semiHidden/>
    <w:unhideWhenUsed/>
    <w:rsid w:val="00041CD7"/>
    <w:rPr>
      <w:color w:val="954F72" w:themeColor="followedHyperlink"/>
      <w:u w:val="single"/>
    </w:rPr>
  </w:style>
  <w:style w:type="character" w:styleId="CommentReference">
    <w:name w:val="annotation reference"/>
    <w:basedOn w:val="DefaultParagraphFont"/>
    <w:uiPriority w:val="99"/>
    <w:semiHidden/>
    <w:unhideWhenUsed/>
    <w:rsid w:val="00AC32C9"/>
    <w:rPr>
      <w:sz w:val="16"/>
      <w:szCs w:val="16"/>
    </w:rPr>
  </w:style>
  <w:style w:type="paragraph" w:styleId="CommentText">
    <w:name w:val="annotation text"/>
    <w:basedOn w:val="Normal"/>
    <w:link w:val="CommentTextChar"/>
    <w:uiPriority w:val="99"/>
    <w:semiHidden/>
    <w:unhideWhenUsed/>
    <w:rsid w:val="00AC32C9"/>
    <w:rPr>
      <w:sz w:val="20"/>
      <w:szCs w:val="20"/>
    </w:rPr>
  </w:style>
  <w:style w:type="character" w:customStyle="1" w:styleId="CommentTextChar">
    <w:name w:val="Comment Text Char"/>
    <w:basedOn w:val="DefaultParagraphFont"/>
    <w:link w:val="CommentText"/>
    <w:uiPriority w:val="99"/>
    <w:semiHidden/>
    <w:rsid w:val="00AC32C9"/>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AC32C9"/>
    <w:rPr>
      <w:b/>
      <w:bCs/>
    </w:rPr>
  </w:style>
  <w:style w:type="character" w:customStyle="1" w:styleId="CommentSubjectChar">
    <w:name w:val="Comment Subject Char"/>
    <w:basedOn w:val="CommentTextChar"/>
    <w:link w:val="CommentSubject"/>
    <w:uiPriority w:val="99"/>
    <w:semiHidden/>
    <w:rsid w:val="00AC32C9"/>
    <w:rPr>
      <w:rFonts w:eastAsiaTheme="minorEastAsia"/>
      <w:b/>
      <w:bCs/>
      <w:sz w:val="20"/>
      <w:szCs w:val="20"/>
      <w:lang w:val="en-US"/>
    </w:rPr>
  </w:style>
  <w:style w:type="paragraph" w:customStyle="1" w:styleId="BulletPoint">
    <w:name w:val="Bullet Point"/>
    <w:basedOn w:val="ListParagraph"/>
    <w:link w:val="BulletPointChar"/>
    <w:qFormat/>
    <w:rsid w:val="00AE03C8"/>
    <w:pPr>
      <w:numPr>
        <w:numId w:val="23"/>
      </w:numPr>
      <w:contextualSpacing w:val="0"/>
    </w:pPr>
    <w:rPr>
      <w:rFonts w:eastAsiaTheme="minorHAnsi"/>
      <w:szCs w:val="22"/>
    </w:rPr>
  </w:style>
  <w:style w:type="character" w:customStyle="1" w:styleId="BulletPointChar">
    <w:name w:val="Bullet Point Char"/>
    <w:basedOn w:val="DefaultParagraphFont"/>
    <w:link w:val="BulletPoint"/>
    <w:rsid w:val="00AE03C8"/>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257728">
      <w:bodyDiv w:val="1"/>
      <w:marLeft w:val="0"/>
      <w:marRight w:val="0"/>
      <w:marTop w:val="0"/>
      <w:marBottom w:val="0"/>
      <w:divBdr>
        <w:top w:val="none" w:sz="0" w:space="0" w:color="auto"/>
        <w:left w:val="none" w:sz="0" w:space="0" w:color="auto"/>
        <w:bottom w:val="none" w:sz="0" w:space="0" w:color="auto"/>
        <w:right w:val="none" w:sz="0" w:space="0" w:color="auto"/>
      </w:divBdr>
      <w:divsChild>
        <w:div w:id="952632512">
          <w:marLeft w:val="0"/>
          <w:marRight w:val="0"/>
          <w:marTop w:val="0"/>
          <w:marBottom w:val="0"/>
          <w:divBdr>
            <w:top w:val="none" w:sz="0" w:space="0" w:color="auto"/>
            <w:left w:val="none" w:sz="0" w:space="0" w:color="auto"/>
            <w:bottom w:val="none" w:sz="0" w:space="0" w:color="auto"/>
            <w:right w:val="none" w:sz="0" w:space="0" w:color="auto"/>
          </w:divBdr>
          <w:divsChild>
            <w:div w:id="824980462">
              <w:marLeft w:val="0"/>
              <w:marRight w:val="0"/>
              <w:marTop w:val="0"/>
              <w:marBottom w:val="0"/>
              <w:divBdr>
                <w:top w:val="none" w:sz="0" w:space="0" w:color="auto"/>
                <w:left w:val="none" w:sz="0" w:space="0" w:color="auto"/>
                <w:bottom w:val="none" w:sz="0" w:space="0" w:color="auto"/>
                <w:right w:val="none" w:sz="0" w:space="0" w:color="auto"/>
              </w:divBdr>
              <w:divsChild>
                <w:div w:id="83692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90759">
      <w:bodyDiv w:val="1"/>
      <w:marLeft w:val="0"/>
      <w:marRight w:val="0"/>
      <w:marTop w:val="0"/>
      <w:marBottom w:val="0"/>
      <w:divBdr>
        <w:top w:val="none" w:sz="0" w:space="0" w:color="auto"/>
        <w:left w:val="none" w:sz="0" w:space="0" w:color="auto"/>
        <w:bottom w:val="none" w:sz="0" w:space="0" w:color="auto"/>
        <w:right w:val="none" w:sz="0" w:space="0" w:color="auto"/>
      </w:divBdr>
      <w:divsChild>
        <w:div w:id="1957056180">
          <w:marLeft w:val="0"/>
          <w:marRight w:val="0"/>
          <w:marTop w:val="0"/>
          <w:marBottom w:val="0"/>
          <w:divBdr>
            <w:top w:val="none" w:sz="0" w:space="0" w:color="auto"/>
            <w:left w:val="none" w:sz="0" w:space="0" w:color="auto"/>
            <w:bottom w:val="none" w:sz="0" w:space="0" w:color="auto"/>
            <w:right w:val="none" w:sz="0" w:space="0" w:color="auto"/>
          </w:divBdr>
          <w:divsChild>
            <w:div w:id="2092316262">
              <w:marLeft w:val="0"/>
              <w:marRight w:val="0"/>
              <w:marTop w:val="0"/>
              <w:marBottom w:val="0"/>
              <w:divBdr>
                <w:top w:val="none" w:sz="0" w:space="0" w:color="auto"/>
                <w:left w:val="none" w:sz="0" w:space="0" w:color="auto"/>
                <w:bottom w:val="none" w:sz="0" w:space="0" w:color="auto"/>
                <w:right w:val="none" w:sz="0" w:space="0" w:color="auto"/>
              </w:divBdr>
              <w:divsChild>
                <w:div w:id="50482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sleap@helpage.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7278F-43B6-445F-89D0-F84EA7B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1045</Words>
  <Characters>5962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test.ha2</dc:creator>
  <cp:keywords/>
  <dc:description/>
  <cp:lastModifiedBy>Bridget Sleap</cp:lastModifiedBy>
  <cp:revision>7</cp:revision>
  <cp:lastPrinted>2017-05-05T08:45:00Z</cp:lastPrinted>
  <dcterms:created xsi:type="dcterms:W3CDTF">2019-01-24T11:30:00Z</dcterms:created>
  <dcterms:modified xsi:type="dcterms:W3CDTF">2019-02-01T10:14:00Z</dcterms:modified>
</cp:coreProperties>
</file>